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28B" w:rsidRDefault="0031128B" w:rsidP="0031128B">
      <w:pPr>
        <w:spacing w:line="276" w:lineRule="auto"/>
        <w:ind w:left="4309"/>
        <w:jc w:val="both"/>
        <w:rPr>
          <w:b/>
          <w:bCs/>
        </w:rPr>
      </w:pPr>
      <w:r>
        <w:rPr>
          <w:rFonts w:ascii="Century Gothic" w:hAnsi="Century Gothic"/>
          <w:b/>
          <w:bCs/>
          <w:sz w:val="22"/>
          <w:szCs w:val="22"/>
        </w:rPr>
        <w:t>PORTARIA/SEMFI N.º 00</w:t>
      </w:r>
      <w:r w:rsidR="00E940B2">
        <w:rPr>
          <w:rFonts w:ascii="Century Gothic" w:hAnsi="Century Gothic"/>
          <w:b/>
          <w:bCs/>
          <w:sz w:val="22"/>
          <w:szCs w:val="22"/>
        </w:rPr>
        <w:t>4</w:t>
      </w:r>
      <w:r>
        <w:rPr>
          <w:rFonts w:ascii="Century Gothic" w:hAnsi="Century Gothic"/>
          <w:b/>
          <w:bCs/>
          <w:sz w:val="22"/>
          <w:szCs w:val="22"/>
        </w:rPr>
        <w:t>/2025</w:t>
      </w:r>
    </w:p>
    <w:p w:rsidR="0031128B" w:rsidRDefault="0031128B" w:rsidP="0031128B">
      <w:pPr>
        <w:spacing w:line="276" w:lineRule="auto"/>
        <w:ind w:left="4309"/>
        <w:jc w:val="both"/>
      </w:pPr>
    </w:p>
    <w:p w:rsidR="0031128B" w:rsidRDefault="0031128B" w:rsidP="0031128B">
      <w:pPr>
        <w:spacing w:line="276" w:lineRule="auto"/>
        <w:ind w:left="4309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DESIGNA EQUIPE DE PLANEJAMENTO DE CONTRATAÇÃO.</w:t>
      </w:r>
    </w:p>
    <w:p w:rsidR="0031128B" w:rsidRDefault="0031128B" w:rsidP="0031128B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31128B" w:rsidRDefault="0031128B" w:rsidP="0031128B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O Secretário Municipal de Finanças e Planejamento, no uso de suas atribuições legais e,</w:t>
      </w:r>
    </w:p>
    <w:p w:rsidR="0031128B" w:rsidRDefault="0031128B" w:rsidP="0031128B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31128B" w:rsidRDefault="0031128B" w:rsidP="0031128B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Considerando o inciso XX do artigo 6º da Lei Federal nº 14.133/2021.</w:t>
      </w:r>
    </w:p>
    <w:p w:rsidR="0031128B" w:rsidRDefault="0031128B" w:rsidP="0031128B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31128B" w:rsidRDefault="0031128B" w:rsidP="0031128B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Considerando que a fase de planejamento das contratações deve ser atualizada às boas práticas inserindo a análise de sua viabilidade e o levantamento dos elementos essenciais a composição do Termo de Referência ou do Projeto Básico, regulamentando procedimentos padronizados.</w:t>
      </w:r>
    </w:p>
    <w:p w:rsidR="0031128B" w:rsidRDefault="0031128B" w:rsidP="0031128B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31128B" w:rsidRDefault="0031128B" w:rsidP="0031128B">
      <w:pPr>
        <w:spacing w:line="276" w:lineRule="auto"/>
        <w:jc w:val="both"/>
        <w:rPr>
          <w:b/>
          <w:bCs/>
        </w:rPr>
      </w:pPr>
      <w:r>
        <w:rPr>
          <w:rFonts w:ascii="Century Gothic" w:hAnsi="Century Gothic"/>
          <w:b/>
          <w:bCs/>
          <w:sz w:val="22"/>
          <w:szCs w:val="22"/>
        </w:rPr>
        <w:t>RESOLVE:</w:t>
      </w:r>
    </w:p>
    <w:p w:rsidR="0031128B" w:rsidRDefault="0031128B" w:rsidP="0031128B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31128B" w:rsidRDefault="0031128B" w:rsidP="00E940B2">
      <w:pPr>
        <w:pStyle w:val="Default"/>
        <w:jc w:val="both"/>
        <w:rPr>
          <w:b/>
          <w:bCs/>
        </w:rPr>
      </w:pPr>
      <w:r>
        <w:rPr>
          <w:rFonts w:ascii="Century Gothic" w:hAnsi="Century Gothic"/>
          <w:b/>
          <w:bCs/>
          <w:sz w:val="22"/>
          <w:szCs w:val="22"/>
        </w:rPr>
        <w:t>Art. 1º.</w:t>
      </w:r>
      <w:r>
        <w:rPr>
          <w:rFonts w:ascii="Century Gothic" w:hAnsi="Century Gothic"/>
          <w:sz w:val="22"/>
          <w:szCs w:val="22"/>
        </w:rPr>
        <w:t xml:space="preserve"> Designar, em atendimento ao disposto no art. 6º, </w:t>
      </w:r>
      <w:proofErr w:type="gramStart"/>
      <w:r>
        <w:rPr>
          <w:rFonts w:ascii="Century Gothic" w:hAnsi="Century Gothic"/>
          <w:sz w:val="22"/>
          <w:szCs w:val="22"/>
        </w:rPr>
        <w:t>VI</w:t>
      </w:r>
      <w:proofErr w:type="gramEnd"/>
      <w:r>
        <w:rPr>
          <w:rFonts w:ascii="Century Gothic" w:hAnsi="Century Gothic"/>
          <w:sz w:val="22"/>
          <w:szCs w:val="22"/>
        </w:rPr>
        <w:t xml:space="preserve"> da Instrução Normativa SLC nº 001/2021 os servidores abaixo relacionados ao desempenho das funções, para compor a Equipe de Planejamento, para contratação, por </w:t>
      </w:r>
      <w:r w:rsidR="00E940B2">
        <w:rPr>
          <w:rFonts w:ascii="Century Gothic" w:hAnsi="Century Gothic"/>
          <w:sz w:val="22"/>
          <w:szCs w:val="22"/>
        </w:rPr>
        <w:t xml:space="preserve">meio do Pregão Eletrônico nº 034/2025, Ata Registro de Preços nº 191/2025 gerida pelo </w:t>
      </w:r>
      <w:r w:rsidR="00E940B2" w:rsidRPr="00E940B2">
        <w:rPr>
          <w:rFonts w:ascii="Century Gothic" w:hAnsi="Century Gothic"/>
          <w:sz w:val="22"/>
          <w:szCs w:val="22"/>
        </w:rPr>
        <w:t>CONSÓRCIO PÚBLICO DA REGIÃO POLINORTE/ES</w:t>
      </w:r>
      <w:r w:rsidR="00E940B2">
        <w:rPr>
          <w:rFonts w:ascii="Century Gothic" w:hAnsi="Century Gothic"/>
          <w:sz w:val="22"/>
          <w:szCs w:val="22"/>
        </w:rPr>
        <w:t xml:space="preserve"> e que o município de Fundão figura como ente participante</w:t>
      </w:r>
      <w:r>
        <w:rPr>
          <w:rFonts w:ascii="Century Gothic" w:hAnsi="Century Gothic"/>
          <w:sz w:val="22"/>
          <w:szCs w:val="22"/>
        </w:rPr>
        <w:t>, de</w:t>
      </w:r>
      <w:r w:rsidR="00E940B2">
        <w:rPr>
          <w:rFonts w:ascii="Century Gothic" w:hAnsi="Century Gothic"/>
          <w:sz w:val="22"/>
          <w:szCs w:val="22"/>
        </w:rPr>
        <w:t xml:space="preserve"> </w:t>
      </w:r>
      <w:r w:rsidR="00E940B2" w:rsidRPr="00E940B2">
        <w:rPr>
          <w:rFonts w:ascii="Century Gothic" w:hAnsi="Century Gothic"/>
          <w:sz w:val="22"/>
          <w:szCs w:val="22"/>
        </w:rPr>
        <w:t>empresa especializada em prestação de serviço continuado de locação de veículos de pequeno e médio porte,</w:t>
      </w:r>
      <w:r w:rsidR="00E940B2" w:rsidRPr="00E940B2">
        <w:rPr>
          <w:rFonts w:ascii="Century Gothic" w:hAnsi="Century Gothic"/>
          <w:sz w:val="22"/>
          <w:szCs w:val="22"/>
        </w:rPr>
        <w:t xml:space="preserve"> especificado(s) no Termo de Referência que é parte integrante desta Ata, assim como as propostas cujos preços tenham sido registrados, i</w:t>
      </w:r>
      <w:r w:rsidR="00E940B2">
        <w:rPr>
          <w:rFonts w:ascii="Century Gothic" w:hAnsi="Century Gothic"/>
          <w:sz w:val="22"/>
          <w:szCs w:val="22"/>
        </w:rPr>
        <w:t>ndependentemente de transcrição,</w:t>
      </w:r>
      <w:r>
        <w:rPr>
          <w:rFonts w:ascii="Century Gothic" w:hAnsi="Century Gothic"/>
          <w:sz w:val="22"/>
          <w:szCs w:val="22"/>
        </w:rPr>
        <w:t xml:space="preserve"> sob a coordenação do primeiro:</w:t>
      </w:r>
    </w:p>
    <w:p w:rsidR="0031128B" w:rsidRDefault="0031128B" w:rsidP="00E940B2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E940B2" w:rsidRDefault="0031128B" w:rsidP="0031128B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- </w:t>
      </w:r>
      <w:r w:rsidR="000561E2" w:rsidRPr="000561E2">
        <w:rPr>
          <w:rFonts w:ascii="Century Gothic" w:hAnsi="Century Gothic"/>
          <w:sz w:val="22"/>
          <w:szCs w:val="22"/>
        </w:rPr>
        <w:t>CARLOS EDI DE OLIVEIRA</w:t>
      </w:r>
      <w:r w:rsidR="000561E2">
        <w:rPr>
          <w:rFonts w:ascii="Century Gothic" w:hAnsi="Century Gothic"/>
          <w:sz w:val="22"/>
          <w:szCs w:val="22"/>
        </w:rPr>
        <w:t xml:space="preserve"> - </w:t>
      </w:r>
      <w:r w:rsidR="000561E2">
        <w:rPr>
          <w:rFonts w:ascii="Century Gothic" w:hAnsi="Century Gothic"/>
          <w:sz w:val="22"/>
          <w:szCs w:val="22"/>
        </w:rPr>
        <w:t>– Matrícula nº</w:t>
      </w:r>
      <w:r w:rsidR="000561E2">
        <w:rPr>
          <w:rFonts w:ascii="Century Gothic" w:hAnsi="Century Gothic"/>
          <w:sz w:val="22"/>
          <w:szCs w:val="22"/>
        </w:rPr>
        <w:t xml:space="preserve"> 12099</w:t>
      </w:r>
    </w:p>
    <w:p w:rsidR="0031128B" w:rsidRDefault="00E940B2" w:rsidP="0031128B">
      <w:pPr>
        <w:spacing w:line="276" w:lineRule="auto"/>
        <w:jc w:val="both"/>
        <w:rPr>
          <w:b/>
          <w:bCs/>
        </w:rPr>
      </w:pPr>
      <w:r>
        <w:rPr>
          <w:rFonts w:ascii="Century Gothic" w:hAnsi="Century Gothic"/>
          <w:sz w:val="22"/>
          <w:szCs w:val="22"/>
        </w:rPr>
        <w:t xml:space="preserve">- </w:t>
      </w:r>
      <w:r w:rsidR="0031128B" w:rsidRPr="00853C72">
        <w:rPr>
          <w:rFonts w:ascii="Century Gothic" w:hAnsi="Century Gothic"/>
          <w:sz w:val="22"/>
          <w:szCs w:val="22"/>
        </w:rPr>
        <w:t>MARCOS PEDRO DE SOUZA</w:t>
      </w:r>
      <w:r w:rsidR="0031128B">
        <w:rPr>
          <w:rFonts w:ascii="Century Gothic" w:hAnsi="Century Gothic"/>
          <w:sz w:val="22"/>
          <w:szCs w:val="22"/>
        </w:rPr>
        <w:t xml:space="preserve"> – Matrícula nº </w:t>
      </w:r>
      <w:r w:rsidR="0031128B" w:rsidRPr="00853C72">
        <w:rPr>
          <w:rFonts w:ascii="Century Gothic" w:hAnsi="Century Gothic"/>
          <w:sz w:val="22"/>
          <w:szCs w:val="22"/>
        </w:rPr>
        <w:t>13122</w:t>
      </w:r>
      <w:r w:rsidR="0031128B">
        <w:rPr>
          <w:rFonts w:ascii="Century Gothic" w:hAnsi="Century Gothic"/>
          <w:sz w:val="22"/>
          <w:szCs w:val="22"/>
        </w:rPr>
        <w:t>;</w:t>
      </w:r>
    </w:p>
    <w:p w:rsidR="0031128B" w:rsidRDefault="0031128B" w:rsidP="0031128B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31128B" w:rsidRDefault="0031128B" w:rsidP="0031128B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Parágrafo único. Os servidores acima designados devem atuar de forma harmônica e eficaz a fim de produzir o melhor resultado ao interesse do Município, devendo prestigiar a ética e não se distanciar dos princípios constitucionais regentes das contratações públicas, em especial o da legalidade, da eficiência, o da primazia do interesse público e o da razoabilidade, com o objetivo da entrega do Estudo Técnico Preliminar, Mapa de Riscos e Termo de Referência, nos termos da Instrução Normativa SLC nº 001/2021 e demais normas sobre o tema.</w:t>
      </w:r>
    </w:p>
    <w:p w:rsidR="0031128B" w:rsidRDefault="0031128B" w:rsidP="0031128B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31128B" w:rsidRDefault="0031128B" w:rsidP="0031128B">
      <w:pPr>
        <w:spacing w:line="276" w:lineRule="auto"/>
        <w:jc w:val="both"/>
        <w:rPr>
          <w:b/>
          <w:bCs/>
        </w:rPr>
      </w:pPr>
      <w:r>
        <w:rPr>
          <w:rFonts w:ascii="Century Gothic" w:hAnsi="Century Gothic"/>
          <w:b/>
          <w:bCs/>
          <w:sz w:val="22"/>
          <w:szCs w:val="22"/>
        </w:rPr>
        <w:t>Art. 2º.</w:t>
      </w:r>
      <w:r>
        <w:rPr>
          <w:rFonts w:ascii="Century Gothic" w:hAnsi="Century Gothic"/>
          <w:sz w:val="22"/>
          <w:szCs w:val="22"/>
        </w:rPr>
        <w:t xml:space="preserve"> A Equipe de Planejamento fica autorizada a consultar servidores ou contratados que detenham conhecimentos específicos e possam auxiliar na conclusão dos trabalhos, bem como requisitar documentos que entenda pertinentes a qualquer setor da estrutura do órgão.</w:t>
      </w:r>
    </w:p>
    <w:p w:rsidR="0031128B" w:rsidRDefault="0031128B" w:rsidP="0031128B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31128B" w:rsidRDefault="0031128B" w:rsidP="0031128B">
      <w:pPr>
        <w:spacing w:line="276" w:lineRule="auto"/>
        <w:jc w:val="both"/>
        <w:rPr>
          <w:b/>
          <w:bCs/>
        </w:rPr>
      </w:pPr>
      <w:r w:rsidRPr="00D125C4">
        <w:rPr>
          <w:rFonts w:ascii="Century Gothic" w:hAnsi="Century Gothic"/>
          <w:b/>
          <w:sz w:val="22"/>
          <w:szCs w:val="22"/>
        </w:rPr>
        <w:t>Parágrafo Único.</w:t>
      </w:r>
      <w:r>
        <w:rPr>
          <w:rFonts w:ascii="Century Gothic" w:hAnsi="Century Gothic"/>
          <w:sz w:val="22"/>
          <w:szCs w:val="22"/>
        </w:rPr>
        <w:t xml:space="preserve"> Caso o servidor demandado se recuse a prestar as informações ou oferecer os documentos solicitados pela Equipe ou obstaculize a realização dos trabalhos pertinentes, a chefia imediata deverá ser comunicada para providenciar o atendimento da demanda e apurar a omissão ocorrida.</w:t>
      </w:r>
    </w:p>
    <w:p w:rsidR="0031128B" w:rsidRDefault="0031128B" w:rsidP="0031128B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31128B" w:rsidRDefault="0031128B" w:rsidP="0031128B">
      <w:pPr>
        <w:spacing w:line="276" w:lineRule="auto"/>
        <w:jc w:val="both"/>
        <w:rPr>
          <w:b/>
          <w:bCs/>
        </w:rPr>
      </w:pPr>
      <w:r>
        <w:rPr>
          <w:rFonts w:ascii="Century Gothic" w:hAnsi="Century Gothic"/>
          <w:b/>
          <w:bCs/>
          <w:sz w:val="22"/>
          <w:szCs w:val="22"/>
        </w:rPr>
        <w:t>Art. 3º.</w:t>
      </w:r>
      <w:r>
        <w:rPr>
          <w:rFonts w:ascii="Century Gothic" w:hAnsi="Century Gothic"/>
          <w:sz w:val="22"/>
          <w:szCs w:val="22"/>
        </w:rPr>
        <w:t xml:space="preserve"> A fase de planejamento encerra-se com a elaboração do Termo de Referência que será encaminhado ao Secretário da Pasta interessada na contratação para homologação e posterior remessa a Comissão de Licitação.</w:t>
      </w:r>
    </w:p>
    <w:p w:rsidR="0031128B" w:rsidRDefault="0031128B" w:rsidP="0031128B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31128B" w:rsidRDefault="0031128B" w:rsidP="0031128B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b/>
          <w:bCs/>
          <w:sz w:val="22"/>
          <w:szCs w:val="22"/>
        </w:rPr>
        <w:t>Art. 4º.</w:t>
      </w:r>
      <w:r>
        <w:rPr>
          <w:rFonts w:ascii="Century Gothic" w:hAnsi="Century Gothic"/>
          <w:sz w:val="22"/>
          <w:szCs w:val="22"/>
        </w:rPr>
        <w:t xml:space="preserve"> Esta Portaria entra em vigor na data de sua publicação.</w:t>
      </w:r>
    </w:p>
    <w:p w:rsidR="0031128B" w:rsidRDefault="0031128B" w:rsidP="0031128B">
      <w:pPr>
        <w:spacing w:line="276" w:lineRule="auto"/>
        <w:jc w:val="both"/>
        <w:rPr>
          <w:b/>
          <w:bCs/>
        </w:rPr>
      </w:pPr>
    </w:p>
    <w:p w:rsidR="0031128B" w:rsidRDefault="0031128B" w:rsidP="0031128B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31128B" w:rsidRDefault="0031128B" w:rsidP="0031128B">
      <w:pPr>
        <w:spacing w:line="276" w:lineRule="auto"/>
        <w:jc w:val="right"/>
      </w:pPr>
      <w:r w:rsidRPr="00FC683C">
        <w:rPr>
          <w:rFonts w:ascii="Century Gothic" w:hAnsi="Century Gothic"/>
          <w:sz w:val="22"/>
          <w:szCs w:val="22"/>
        </w:rPr>
        <w:t>Fundão/ES, 1</w:t>
      </w:r>
      <w:r>
        <w:rPr>
          <w:rFonts w:ascii="Century Gothic" w:hAnsi="Century Gothic"/>
          <w:sz w:val="22"/>
          <w:szCs w:val="22"/>
        </w:rPr>
        <w:t>0</w:t>
      </w:r>
      <w:r w:rsidRPr="00FC683C">
        <w:rPr>
          <w:rFonts w:ascii="Century Gothic" w:hAnsi="Century Gothic"/>
          <w:sz w:val="22"/>
          <w:szCs w:val="22"/>
        </w:rPr>
        <w:t xml:space="preserve"> de </w:t>
      </w:r>
      <w:r w:rsidR="007759E5">
        <w:rPr>
          <w:rFonts w:ascii="Century Gothic" w:hAnsi="Century Gothic"/>
          <w:sz w:val="22"/>
          <w:szCs w:val="22"/>
        </w:rPr>
        <w:t>setembro</w:t>
      </w:r>
      <w:bookmarkStart w:id="0" w:name="_GoBack"/>
      <w:bookmarkEnd w:id="0"/>
      <w:r w:rsidRPr="00FC683C">
        <w:rPr>
          <w:rFonts w:ascii="Century Gothic" w:hAnsi="Century Gothic"/>
          <w:sz w:val="22"/>
          <w:szCs w:val="22"/>
        </w:rPr>
        <w:t xml:space="preserve"> de 2025.</w:t>
      </w:r>
    </w:p>
    <w:p w:rsidR="0031128B" w:rsidRDefault="0031128B" w:rsidP="0031128B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31128B" w:rsidRDefault="0031128B" w:rsidP="0031128B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31128B" w:rsidRDefault="0031128B" w:rsidP="0031128B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31128B" w:rsidRDefault="0031128B" w:rsidP="0031128B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31128B" w:rsidRDefault="0031128B" w:rsidP="0031128B">
      <w:pPr>
        <w:spacing w:line="276" w:lineRule="auto"/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t>UILLIAM MARTINS TOREZANI</w:t>
      </w:r>
    </w:p>
    <w:p w:rsidR="0031128B" w:rsidRDefault="0031128B" w:rsidP="0031128B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Secretário Municipal de Finanças e Planejamento</w:t>
      </w:r>
    </w:p>
    <w:p w:rsidR="0096273A" w:rsidRDefault="007759E5"/>
    <w:sectPr w:rsidR="0096273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28B"/>
    <w:rsid w:val="000561E2"/>
    <w:rsid w:val="0031128B"/>
    <w:rsid w:val="00552025"/>
    <w:rsid w:val="007759E5"/>
    <w:rsid w:val="008B4600"/>
    <w:rsid w:val="00A86F00"/>
    <w:rsid w:val="00D46D4F"/>
    <w:rsid w:val="00E94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28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940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128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940B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443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CONTABIL_NOVO_01</dc:creator>
  <cp:lastModifiedBy>CONTABIL_NOVO_01</cp:lastModifiedBy>
  <cp:revision>6</cp:revision>
  <dcterms:created xsi:type="dcterms:W3CDTF">2025-03-13T17:53:00Z</dcterms:created>
  <dcterms:modified xsi:type="dcterms:W3CDTF">2025-09-10T16:13:00Z</dcterms:modified>
</cp:coreProperties>
</file>